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EA" w:rsidRPr="00F65CEA" w:rsidRDefault="00F65CEA" w:rsidP="00F6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F65CEA" w:rsidRPr="00F65CEA" w:rsidRDefault="00F65CEA" w:rsidP="00F6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CEA" w:rsidRPr="00F65CEA" w:rsidRDefault="00F65CEA" w:rsidP="00F6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CEA" w:rsidRPr="00F65CEA" w:rsidRDefault="00F65CEA" w:rsidP="00F6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CEA" w:rsidRPr="00F65CEA" w:rsidRDefault="00F65CEA" w:rsidP="00F65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65CEA" w:rsidRPr="00F65CEA" w:rsidRDefault="00F65CEA" w:rsidP="00F65CEA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sub_1000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F65CEA" w:rsidRPr="00F65CEA" w:rsidRDefault="00F65CEA" w:rsidP="00F65CE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F65CEA" w:rsidRPr="00F65CEA" w:rsidRDefault="00F65CEA" w:rsidP="00F65CE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Долматовка</w:t>
      </w:r>
      <w:proofErr w:type="spellEnd"/>
    </w:p>
    <w:p w:rsidR="00F65CEA" w:rsidRPr="00F65CEA" w:rsidRDefault="00F65CEA" w:rsidP="00F65CE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Борский</w:t>
      </w:r>
    </w:p>
    <w:p w:rsidR="00F65CEA" w:rsidRPr="00F65CEA" w:rsidRDefault="00F65CEA" w:rsidP="00F65CEA">
      <w:pPr>
        <w:tabs>
          <w:tab w:val="left" w:pos="5954"/>
          <w:tab w:val="left" w:pos="6749"/>
          <w:tab w:val="right" w:pos="9575"/>
        </w:tabs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 44  от</w:t>
      </w:r>
      <w:bookmarkEnd w:id="0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16.10.2017г</w:t>
      </w:r>
    </w:p>
    <w:p w:rsidR="00F65CEA" w:rsidRPr="00F65CEA" w:rsidRDefault="00F65CEA" w:rsidP="00F65C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F65CEA" w:rsidRPr="00F65CEA" w:rsidRDefault="00F65CEA" w:rsidP="00F65C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F65CEA" w:rsidRPr="00F65CEA" w:rsidRDefault="00F65CEA" w:rsidP="00F65C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                                             Основные направления</w:t>
      </w:r>
    </w:p>
    <w:p w:rsidR="00F65CEA" w:rsidRPr="00F65CEA" w:rsidRDefault="00F65CEA" w:rsidP="00F65C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бюджетной политики  </w:t>
      </w:r>
      <w:r w:rsidRPr="00F65CEA">
        <w:rPr>
          <w:rFonts w:ascii="Times New Roman" w:eastAsia="Times New Roman" w:hAnsi="Times New Roman" w:cs="Arial"/>
          <w:b/>
          <w:bCs/>
          <w:color w:val="000000"/>
          <w:kern w:val="32"/>
          <w:sz w:val="24"/>
          <w:szCs w:val="24"/>
          <w:lang w:eastAsia="ru-RU"/>
        </w:rPr>
        <w:t xml:space="preserve">сельского поселения </w:t>
      </w:r>
      <w:proofErr w:type="spellStart"/>
      <w:r w:rsidRPr="00F65CEA">
        <w:rPr>
          <w:rFonts w:ascii="Times New Roman" w:eastAsia="Times New Roman" w:hAnsi="Times New Roman" w:cs="Arial"/>
          <w:b/>
          <w:bCs/>
          <w:color w:val="000000"/>
          <w:kern w:val="32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Arial"/>
          <w:b/>
          <w:bCs/>
          <w:color w:val="000000"/>
          <w:kern w:val="32"/>
          <w:sz w:val="24"/>
          <w:szCs w:val="24"/>
          <w:lang w:eastAsia="ru-RU"/>
        </w:rPr>
        <w:t xml:space="preserve"> муниципального района Борский Самарской области </w:t>
      </w:r>
      <w:r w:rsidRPr="00F65CE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на 2018 год и на плановый период 2019 и 2020 годов</w:t>
      </w:r>
    </w:p>
    <w:p w:rsidR="00F65CEA" w:rsidRPr="00F65CEA" w:rsidRDefault="00F65CEA" w:rsidP="00F6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EA" w:rsidRPr="00F65CEA" w:rsidRDefault="00F65CEA" w:rsidP="00F65CE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F65CEA" w:rsidRPr="00F65CEA" w:rsidRDefault="00F65CEA" w:rsidP="00F65C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политики сельского поселения </w:t>
      </w:r>
      <w:proofErr w:type="spell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Борский Самарской области на 2018 год и на плановый период 2019-2020 годов (далее - Основные направления бюджетной политики) подготовлены в соответствии с требованиями Бюджетного кодекса Российской Федерации, Положением «О бюджетном устройстве и бюджетном процессе в сельском поселении </w:t>
      </w:r>
      <w:proofErr w:type="spell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Борский Самарской области» и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определяют основные подходы к формированию проекта бюджета 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 Самарской области на очередной финансовый годи на плановый период.</w:t>
      </w:r>
      <w:proofErr w:type="gramEnd"/>
    </w:p>
    <w:p w:rsidR="00F65CEA" w:rsidRPr="00F65CEA" w:rsidRDefault="00F65CEA" w:rsidP="00F65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Основных направлений учтены положения следующих правовых актов: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Основные направления бюджетной, налоговой и таможенно-тарифной политики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и плановый период 2019 и 2020 годов;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Послания Президента Российской Федерации Федеральному Собранию от 1 декабря 2016 года; </w:t>
      </w:r>
    </w:p>
    <w:p w:rsidR="00F65CEA" w:rsidRPr="00F65CEA" w:rsidRDefault="00F65CEA" w:rsidP="00F65C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Послания Губернатора Самарской области от 19 декабря 2016 года Самарской Губернской Думе;</w:t>
      </w:r>
    </w:p>
    <w:p w:rsidR="00F65CEA" w:rsidRPr="00F65CEA" w:rsidRDefault="00F65CEA" w:rsidP="00F65C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F65CEA" w:rsidRPr="00F65CEA" w:rsidRDefault="00F65CEA" w:rsidP="00F65C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Федерального закона от 27 июля 2010 года № 210-ФЗ «Об организации предоставления государственных и муниципальных услуг»; </w:t>
      </w:r>
    </w:p>
    <w:p w:rsidR="00F65CEA" w:rsidRPr="00F65CEA" w:rsidRDefault="00F65CEA" w:rsidP="00F65C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EA" w:rsidRPr="00F65CEA" w:rsidRDefault="00F65CEA" w:rsidP="00F65C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     </w:t>
      </w:r>
    </w:p>
    <w:p w:rsidR="00F65CEA" w:rsidRPr="00F65CEA" w:rsidRDefault="00F65CEA" w:rsidP="00F65C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Основные задачи бюджетной политики на 2018 год и </w:t>
      </w:r>
      <w:proofErr w:type="gramStart"/>
      <w:r w:rsidRPr="00F6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F65CEA" w:rsidRPr="00F65CEA" w:rsidRDefault="00F65CEA" w:rsidP="00F65C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2019 и 2020 годов</w:t>
      </w:r>
    </w:p>
    <w:p w:rsidR="00F65CEA" w:rsidRPr="00F65CEA" w:rsidRDefault="00F65CEA" w:rsidP="00F65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политики содержат цели, задачи и 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на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использованием бюджетных средств на 2018 год и плановый период 2019 и 2020 годов. </w:t>
      </w:r>
    </w:p>
    <w:p w:rsidR="00F65CEA" w:rsidRPr="00F65CEA" w:rsidRDefault="00F65CEA" w:rsidP="00F65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бюджетной политики остаётся обеспечение сбалансированности и устойчивости бюджета сельского поселения </w:t>
      </w:r>
      <w:proofErr w:type="spell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Борский Самарской области при безусловном исполнении всех обязательств и выполнении задач, оптимизации структуры расходов районного бюджета,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65CEA" w:rsidRPr="00F65CEA" w:rsidRDefault="00F65CEA" w:rsidP="00F65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сосредоточить усилия на решении основных задач:</w:t>
      </w:r>
    </w:p>
    <w:p w:rsidR="00F65CEA" w:rsidRPr="00F65CEA" w:rsidRDefault="00F65CEA" w:rsidP="00F6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нормативно-правового регулирования бюджетного процесса;</w:t>
      </w:r>
    </w:p>
    <w:p w:rsidR="00F65CEA" w:rsidRPr="00F65CEA" w:rsidRDefault="00F65CEA" w:rsidP="00F65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муниципальных программ и расширение их использования в бюджетном планировании;</w:t>
      </w:r>
    </w:p>
    <w:p w:rsidR="00F65CEA" w:rsidRPr="00F65CEA" w:rsidRDefault="00F65CEA" w:rsidP="00F65CE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повышение эффективности бюджетных расходов и обеспечение сокращения расходов бюджета сельского поселения;</w:t>
      </w:r>
    </w:p>
    <w:p w:rsidR="00F65CEA" w:rsidRPr="00F65CEA" w:rsidRDefault="00F65CEA" w:rsidP="00F65CEA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 создание условий для повышения качества предоставления государственных и муниципальных услуг;</w:t>
      </w:r>
    </w:p>
    <w:p w:rsidR="00F65CEA" w:rsidRPr="00F65CEA" w:rsidRDefault="00F65CEA" w:rsidP="00F65CEA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 повышение эффективности процедур проведения муниципальных закупок;</w:t>
      </w:r>
    </w:p>
    <w:p w:rsidR="00F65CEA" w:rsidRPr="00F65CEA" w:rsidRDefault="00F65CEA" w:rsidP="00F65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F65CEA" w:rsidRPr="00F65CEA" w:rsidRDefault="00F65CEA" w:rsidP="00F65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65CEA" w:rsidRPr="00F65CEA" w:rsidRDefault="00F65CEA" w:rsidP="00F65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распорядителей средств  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бюджета сельского поселения должна осуществляться через 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 в полном объеме. 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установленных бюджетных ограничений при принятии новых расходных обязательств;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реализации программ и мероприятий, финансируемых из областного и федерального бюджетов, исходя из возможностей бюджета сельского поселения;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качества финансового менеджмента в органах местного самоуправления сельского поселения.</w:t>
      </w:r>
    </w:p>
    <w:p w:rsidR="00F65CEA" w:rsidRPr="00F65CEA" w:rsidRDefault="00F65CEA" w:rsidP="00F65C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Основные направления бюджетной политики на 2018 год и </w:t>
      </w:r>
    </w:p>
    <w:p w:rsidR="00F65CEA" w:rsidRPr="00F65CEA" w:rsidRDefault="00F65CEA" w:rsidP="00F65C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плановый период 2019 и 2020 годов</w:t>
      </w:r>
    </w:p>
    <w:p w:rsidR="00F65CEA" w:rsidRPr="00F65CEA" w:rsidRDefault="00F65CEA" w:rsidP="00F65C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Основные направления бюджетной политики в части </w:t>
      </w:r>
    </w:p>
    <w:p w:rsidR="00F65CEA" w:rsidRPr="00F65CEA" w:rsidRDefault="00F65CEA" w:rsidP="00F65C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текущих   обязательств.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основной целью бюджетной 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на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среднесрочную перспективу в качестве приоритетов бюджетных расходов определены: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 с учетом оптимизации штатной численности;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мер по обеспечению доступности дошкольного образования;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обеспечении отдельных категорий граждан доступным и комфортным жильем;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мер по обеспечению доступности транспортного обслуживания;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</w:t>
      </w:r>
      <w:proofErr w:type="spell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занятости населения и поддержки приоритетных отраслей экономики, а также малого бизнеса;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 по состоянию на 1 октября 2017 года с 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на федеральном уровне минимального размера оплаты труда.</w:t>
      </w:r>
    </w:p>
    <w:p w:rsidR="00F65CEA" w:rsidRPr="00F65CEA" w:rsidRDefault="00F65CEA" w:rsidP="00F65CE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сферы.</w:t>
      </w:r>
    </w:p>
    <w:p w:rsidR="00F65CEA" w:rsidRPr="00F65CEA" w:rsidRDefault="00F65CEA" w:rsidP="00F65CE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объектов, имеющих высокую степень готовности, объектов, строящихся с привлечением средств федерального и областного бюджетов. </w:t>
      </w:r>
    </w:p>
    <w:p w:rsidR="00F65CEA" w:rsidRPr="00F65CEA" w:rsidRDefault="00F65CEA" w:rsidP="00F65C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Основные направления политики в сфере межбюджетных отношений.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отношения на 2017-2019 годы будут формироваться в соответствии с требованиями Бюджетного кодекса Российской Федерации. Одна из качественных, первоочередных задач, это эффективное исполнение  возложенных и переданных полномочий. Особое внимание будет уделяться работе, направленной на повышение финансовой дисциплины, улучшение показателей местного бюджета, а также контролю соблюдения основных условий получения межбюджетных трансфертов из районного бюджета.</w:t>
      </w:r>
    </w:p>
    <w:p w:rsidR="00F65CEA" w:rsidRPr="00F65CEA" w:rsidRDefault="00F65CEA" w:rsidP="00F65CE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3.3.Основные направления политики </w:t>
      </w:r>
      <w:r w:rsidRPr="00F65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управления муниципальным долгом.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Долговая политика муниципального района  области в 2018-2020 годах должна выстраиваться из принципа финансовой устойчивости бюджета сельского поселения, которая основана  на принципах безусловного и своевременного исполнения и обслуживания принятых долговых обязательств сельского поселения, а также поддержания объема муниципального долга на экономически безопасном уровне.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долговой сельского поселения политики направлена на обеспечение выполнения принятых долговых обязательств сельского поселения при наименьших затратах и разумной степени риска.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управления муниципальным долгом при реализации долговой политики являются: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муниципальных заимствований сельского поселения;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структуры муниципального долга с целью минимизации стоимости его обслуживания;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рисков, связанных с осуществлением заимствований;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взаимосвязи  принятия решения о заимствованиях с учетом реальных потребностей бюджета сельского поселения в привлечении заемных средств;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прозрачности управления муниципальным долгом сельского поселения.</w:t>
      </w:r>
    </w:p>
    <w:p w:rsidR="00F65CEA" w:rsidRPr="00F65CEA" w:rsidRDefault="00F65CEA" w:rsidP="00F65CEA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политики по</w:t>
      </w:r>
      <w:r w:rsidRPr="00F65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исполнению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бюджета сельского поселения 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исполнения бюджета сельского поселения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будут являться: 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бюджета сельского поселения на основе кассового плана;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кассовых разрывов и резервов их покрытия;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главными распорядителями бюджетных средств бюджетных 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пределах доведенных до них лимитов бюджетных обязательств;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жесткого 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целевым и эффективным использованием бюджетных средств;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на соответствие планов закупок объему финансового обеспечения для их осуществления;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учёта и отчетности в муниципальных учреждениях с целью предоставления пользователям информации о финансовом положении, финансовых результатах деятельности органов местного самоуправления и муниципальных учреждений.</w:t>
      </w:r>
    </w:p>
    <w:p w:rsidR="00F65CEA" w:rsidRPr="00F65CEA" w:rsidRDefault="00F65CEA" w:rsidP="00F65CEA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3.5. 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политики в сфере </w:t>
      </w:r>
      <w:r w:rsidRPr="00F65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финансового контроля.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политика на 2018 год и среднесрочную перспективу 2019 и 2020 годов в области муниципального контроля  направлена на совершенствование муниципального контроля в финансово-бюджетной сфере с целью его ориентации на оценку эффективности расходов бюджета </w:t>
      </w:r>
      <w:proofErr w:type="spellStart"/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spellEnd"/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Борского района Самарской области.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бюджетной политики в области муниципального финансового контроля являются:</w:t>
      </w:r>
    </w:p>
    <w:p w:rsidR="00F65CEA" w:rsidRPr="00F65CEA" w:rsidRDefault="00F65CEA" w:rsidP="00F65C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правового регулирования муниципального финансового контроля 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сложной финансово-экономической ситуации большое значение придаётся повышению действенности работы органов муниципального финансового контроля. В связи с чем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уделить особое внимание дальнейшему развитию правовых и методологических основ внутреннего муниципального финансового контроля, направленных на повышение эффективности и прозрачности контрольной деятельности с учётом требований бюджетного законодательства Российской Федерации.</w:t>
      </w:r>
    </w:p>
    <w:p w:rsidR="00F65CEA" w:rsidRPr="00F65CEA" w:rsidRDefault="00F65CEA" w:rsidP="00F65C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по 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финансовому контролю в</w:t>
      </w:r>
    </w:p>
    <w:p w:rsidR="00F65CEA" w:rsidRPr="00F65CEA" w:rsidRDefault="00F65CEA" w:rsidP="00F65C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законодательства Российской Федерации и 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правовых актов сельского поселения  </w:t>
      </w:r>
      <w:proofErr w:type="spell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Борского района Самарской области.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полноценной реализации усовершенствования подходов к деятельности органов муниципального финансового контроля необходимо обеспечить: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контрольной деятельности исходя из приоритетности предметов и объектов контроля, направлений использования средств бюджета сельского поселения  </w:t>
      </w:r>
      <w:proofErr w:type="spell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Борского района Самарской области, по которым наиболее вероятно наличие существенных финансовых нарушений;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-координация планов контрольной деятельности внутреннего муниципального финансового контроля;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ориентация контрольно-ревизионной деятельности  на усиление 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главных администраторов средств бюджета  сельского поселения, в том числе путём анализа осуществления ими внутреннего финансового контроля.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системы внутреннего финансового контроля.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дополнением  к внутреннему муниципальному финансовому контролю должна стать единая система внутреннего финансового контроля в сфере закупок. Усиление муниципального финансового контроля за соблюдением законодательства о контрактной системе в сфере закупок, расходованием бюджетных сре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осуществлении закупок товаров, работ, услуг для нужд сельского поселения  </w:t>
      </w:r>
      <w:proofErr w:type="spell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Борского района Самарской области, в том числе обоснованием начальной (максимальной)  цены контракта и исполнением муниципальных контрактов.</w:t>
      </w:r>
    </w:p>
    <w:p w:rsidR="00F65CEA" w:rsidRPr="00F65CEA" w:rsidRDefault="00F65CEA" w:rsidP="00F65C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информационной работы  по предупреждению нарушений бюджетного законодательства и законодательства о контрактной системе</w:t>
      </w:r>
    </w:p>
    <w:p w:rsidR="00F65CEA" w:rsidRPr="00F65CEA" w:rsidRDefault="00F65CEA" w:rsidP="00F6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высокого  уровня открытости и прозрачности муниципальных финансов сельского поселения  </w:t>
      </w:r>
      <w:proofErr w:type="spell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Борского района Самарской области необходимо обеспечить  доступность  для граждан информации о процессах  управления муниципальными финансами, об осуществлении муниципального контроля в финансово-бюджетной сфере, а также о деятельности муниципальных учреждений и оказании муниципальных услуг 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работ).</w:t>
      </w:r>
    </w:p>
    <w:p w:rsidR="00F65CEA" w:rsidRPr="00F65CEA" w:rsidRDefault="00F65CEA" w:rsidP="00F65CE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CEA" w:rsidRPr="00F65CEA" w:rsidRDefault="00F65CEA" w:rsidP="00F65CE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CEA" w:rsidRPr="00F65CEA" w:rsidRDefault="00F65CEA" w:rsidP="00F65CE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CEA" w:rsidRPr="00F65CEA" w:rsidRDefault="00F65CEA" w:rsidP="00F65CE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CEA" w:rsidRPr="00F65CEA" w:rsidRDefault="00F65CEA" w:rsidP="00F65CE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CEA" w:rsidRPr="00F65CEA" w:rsidRDefault="00F65CEA" w:rsidP="00F65CE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CEA" w:rsidRPr="00F65CEA" w:rsidRDefault="00F65CEA" w:rsidP="00F65CE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CEA" w:rsidRPr="00F65CEA" w:rsidRDefault="00F65CEA" w:rsidP="00F65CE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CEA" w:rsidRPr="00F65CEA" w:rsidRDefault="00F65CEA" w:rsidP="00F65CE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CEA" w:rsidRPr="00F65CEA" w:rsidRDefault="00F65CEA" w:rsidP="00F65CE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CEA" w:rsidRPr="00F65CEA" w:rsidRDefault="00F65CEA" w:rsidP="00F65CE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CEA" w:rsidRPr="00F65CEA" w:rsidRDefault="00F65CEA" w:rsidP="00F65CEA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Приложение 2</w:t>
      </w:r>
    </w:p>
    <w:p w:rsidR="00F65CEA" w:rsidRPr="00F65CEA" w:rsidRDefault="00F65CEA" w:rsidP="00F65CE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F65CEA" w:rsidRPr="00F65CEA" w:rsidRDefault="00F65CEA" w:rsidP="00F65CE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Долматовка</w:t>
      </w:r>
      <w:proofErr w:type="spellEnd"/>
    </w:p>
    <w:p w:rsidR="00F65CEA" w:rsidRPr="00F65CEA" w:rsidRDefault="00F65CEA" w:rsidP="00F65CE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Борский</w:t>
      </w:r>
    </w:p>
    <w:p w:rsidR="00F65CEA" w:rsidRPr="00F65CEA" w:rsidRDefault="00F65CEA" w:rsidP="00F65CEA">
      <w:pPr>
        <w:tabs>
          <w:tab w:val="left" w:pos="5954"/>
          <w:tab w:val="left" w:pos="6749"/>
          <w:tab w:val="right" w:pos="9575"/>
        </w:tabs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 44  от 16.10.2017г</w:t>
      </w:r>
    </w:p>
    <w:p w:rsidR="00F65CEA" w:rsidRPr="00F65CEA" w:rsidRDefault="00F65CEA" w:rsidP="00F65CEA">
      <w:pPr>
        <w:tabs>
          <w:tab w:val="left" w:pos="5986"/>
          <w:tab w:val="left" w:pos="6749"/>
          <w:tab w:val="right" w:pos="9575"/>
        </w:tabs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65CEA" w:rsidRPr="00F65CEA" w:rsidRDefault="00F65CEA" w:rsidP="00F65CEA">
      <w:pPr>
        <w:tabs>
          <w:tab w:val="left" w:pos="6749"/>
          <w:tab w:val="right" w:pos="9575"/>
        </w:tabs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5CEA" w:rsidRPr="00F65CEA" w:rsidRDefault="00F65CEA" w:rsidP="00F65CEA">
      <w:pPr>
        <w:tabs>
          <w:tab w:val="left" w:pos="6749"/>
          <w:tab w:val="right" w:pos="9575"/>
        </w:tabs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5CEA" w:rsidRPr="00F65CEA" w:rsidRDefault="00F65CEA" w:rsidP="00F65C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Основные направления</w:t>
      </w:r>
    </w:p>
    <w:p w:rsidR="00F65CEA" w:rsidRPr="00F65CEA" w:rsidRDefault="00F65CEA" w:rsidP="00F65C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налоговой политики </w:t>
      </w:r>
      <w:r w:rsidRPr="00F65CEA">
        <w:rPr>
          <w:rFonts w:ascii="Times New Roman" w:eastAsia="Times New Roman" w:hAnsi="Times New Roman" w:cs="Arial"/>
          <w:b/>
          <w:bCs/>
          <w:color w:val="000000"/>
          <w:kern w:val="32"/>
          <w:sz w:val="24"/>
          <w:szCs w:val="24"/>
          <w:lang w:eastAsia="ru-RU"/>
        </w:rPr>
        <w:t xml:space="preserve">сельского поселения </w:t>
      </w:r>
      <w:proofErr w:type="spellStart"/>
      <w:r w:rsidRPr="00F65CEA">
        <w:rPr>
          <w:rFonts w:ascii="Times New Roman" w:eastAsia="Times New Roman" w:hAnsi="Times New Roman" w:cs="Arial"/>
          <w:b/>
          <w:bCs/>
          <w:color w:val="000000"/>
          <w:kern w:val="32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Arial"/>
          <w:b/>
          <w:bCs/>
          <w:color w:val="000000"/>
          <w:kern w:val="32"/>
          <w:sz w:val="24"/>
          <w:szCs w:val="24"/>
          <w:lang w:eastAsia="ru-RU"/>
        </w:rPr>
        <w:t xml:space="preserve"> муниципального района Борский Самарской области </w:t>
      </w:r>
      <w:r w:rsidRPr="00F65CE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на 2018 год и на плановый период 2019 и 2020 годов</w:t>
      </w:r>
    </w:p>
    <w:p w:rsidR="00F65CEA" w:rsidRPr="00F65CEA" w:rsidRDefault="00F65CEA" w:rsidP="00F65C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F65CEA" w:rsidRPr="00F65CEA" w:rsidRDefault="00F65CEA" w:rsidP="00F65CEA">
      <w:pPr>
        <w:shd w:val="clear" w:color="auto" w:fill="FFFFFF"/>
        <w:tabs>
          <w:tab w:val="left" w:pos="567"/>
          <w:tab w:val="left" w:pos="709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налоговой политики на 2018 год и плановый период 2019 и 2020 годов (далее – Основные направления налоговой политики) подготовлены в соответствии с требованиями Бюджетного кодекса Российской Федерации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«О бюджетном устройстве и бюджетном процессе в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поселение </w:t>
      </w:r>
      <w:proofErr w:type="spellStart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 Самарской области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составления проекта бюджета сельского поселения </w:t>
      </w:r>
      <w:proofErr w:type="spellStart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 Самарской области, содержат основные цели</w:t>
      </w:r>
      <w:proofErr w:type="gramEnd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задачи налоговой политики сельского поселения </w:t>
      </w:r>
      <w:proofErr w:type="spellStart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 Самарской области учитывают преемственность ранее обозначенных приоритетных направлений.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учитывались положения следующих документов: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направления бюджетной, налоговой и таможенно-тарифной политики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и плановый период 2019 и 2020 годов;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изменения, вносимые в Налоговый кодекс Российской Федерации;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Послания Президента Российской Федерации Федеральному Собранию Российской Федерации от 1 декабря 2016 года;</w:t>
      </w:r>
    </w:p>
    <w:p w:rsidR="00F65CEA" w:rsidRPr="00F65CEA" w:rsidRDefault="00F65CEA" w:rsidP="00F65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-Послание Губернатора Самарской области от 19.12.2016 года;</w:t>
      </w:r>
    </w:p>
    <w:p w:rsidR="00F65CEA" w:rsidRPr="00F65CEA" w:rsidRDefault="00F65CEA" w:rsidP="00F65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F65CEA" w:rsidRPr="00F65CEA" w:rsidRDefault="00F65CEA" w:rsidP="00F65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-Государственная программа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 18.05.2016 № 445.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</w:pP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</w:pP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>2.Основные изменения налогового законодательства с 2017 года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При формировании консолидированного бюджета 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 Самарской области </w:t>
      </w:r>
      <w:r w:rsidRPr="00F65CEA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на 2018 год необходимо учесть следующие изменения: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1 января 2017 года н</w:t>
      </w:r>
      <w:r w:rsidRPr="00F6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алоговые органы контролируют полноту и  своевременность уплаты страховых взносов </w:t>
      </w:r>
      <w:r w:rsidRPr="00F65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(кроме взносов на травматизм)</w:t>
      </w:r>
      <w:r w:rsidRPr="00F6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Для ИП— 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отмена обязательных отчислений в фонды медицинского, социального страхования и в пенсионный. Отчисления придется осуществлять в форме ЕССС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Налоговом кодексе РФ (глава 34) прописаны правила уплаты страховых взносов и льгот.</w:t>
      </w:r>
    </w:p>
    <w:p w:rsidR="00F65CEA" w:rsidRPr="00F65CEA" w:rsidRDefault="00F65CEA" w:rsidP="00F65CEA">
      <w:pPr>
        <w:keepNext/>
        <w:shd w:val="clear" w:color="auto" w:fill="FFFFFF"/>
        <w:tabs>
          <w:tab w:val="left" w:pos="56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 2017 года действуют нормы об ответственности за несообщение данных сведений – так, правила п. 3 ст. 129.1 НК РФ отныне предполагают привлечение налогоплательщика – физического лица за непредставление или несвоевременное представление указанных сведений к ответственности в виде уплаты штрафа в размере 20% от суммы неуплаченного налога. Таким образом, государство усиливает напор в стремлении обязать граждан декларировать имущество и платить транспортный налог и налог на имущество физических лиц.</w:t>
      </w:r>
    </w:p>
    <w:p w:rsidR="00F65CEA" w:rsidRPr="00F65CEA" w:rsidRDefault="00F65CEA" w:rsidP="00F65CEA">
      <w:pPr>
        <w:shd w:val="clear" w:color="auto" w:fill="FFFFFF"/>
        <w:tabs>
          <w:tab w:val="left" w:pos="567"/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Коэффициент-дефлятор используется для корректировки авансовых платежей иностранных граждан из «безвизовых» стран, которые трудятся на основании патента по найму у физических лиц (для личных, домашних и других подобных нужд), а также в организациях или у ИП. Эти работники обязаны ежемесячно вносить фиксированные авансовые платежи по НДФЛ за период действия патента в размере 1200 рублей. Однако эта сумма ежегодно индексируется с учетом коэффициента-дефлятора и регионального коэффициента (п. 2 и 3 ст. 227.1 НК РФ). Размер коэффициента-дефлятора на 2017 год для указанных целей составит 1,623. Это предусмотрено Приказом Минэкономразвития от 03.11.2016 № 698. В 2016 году значение коэффициента равнялось 1,514 (Приказом Минэкономразвития РФ от 20.10.15 № 772).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С 1 октября 2017 года ставка, по которой должны рассчитываться пени для организаций, будет зависеть от длительности просрочки. Если она составит не более 30 дней, то применяться будет 1/300 ставки рефинансирования в день, если более 30 дней – то 1/150 ставки рефинансирования начиная с 31-ого календарного дня просрочки (п. 4 ст. 75 НК РФ в ред., </w:t>
      </w:r>
      <w:proofErr w:type="spellStart"/>
      <w:r w:rsidRPr="00F65CEA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действ</w:t>
      </w:r>
      <w:proofErr w:type="gramStart"/>
      <w:r w:rsidRPr="00F65CEA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.с</w:t>
      </w:r>
      <w:proofErr w:type="spellEnd"/>
      <w:proofErr w:type="gramEnd"/>
      <w:r w:rsidRPr="00F65CEA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01.10.2017).Для граждан и предпринимателей порядок расчета пеней останется прежним.</w:t>
      </w:r>
    </w:p>
    <w:p w:rsidR="00F65CEA" w:rsidRPr="00F65CEA" w:rsidRDefault="00F65CEA" w:rsidP="00F65C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lastRenderedPageBreak/>
        <w:t>3.Основные изменения налогового законодательства, вступающие в силу, а также планируемые к принятию в 2018- 2020 годах</w:t>
      </w:r>
    </w:p>
    <w:p w:rsidR="00F65CEA" w:rsidRPr="00F65CEA" w:rsidRDefault="00F65CEA" w:rsidP="00F65C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</w:pPr>
    </w:p>
    <w:p w:rsidR="00F65CEA" w:rsidRPr="00F65CEA" w:rsidRDefault="00F65CEA" w:rsidP="00F65C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Уголовная ответственность за неуплату страховых взносов в 2018 году.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416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компанию могут привлечь к уголовной ответственности за уклонение от уплаты взносов. Федеральный закон от 29 июля </w:t>
      </w:r>
      <w:smartTag w:uri="urn:schemas-microsoft-com:office:smarttags" w:element="metricconverter">
        <w:smartTagPr>
          <w:attr w:name="ProductID" w:val="2017 г"/>
        </w:smartTagPr>
        <w:r w:rsidRPr="00F65C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250-ФЗ вступил в силу 10 августа </w:t>
      </w:r>
      <w:smartTag w:uri="urn:schemas-microsoft-com:office:smarttags" w:element="metricconverter">
        <w:smartTagPr>
          <w:attr w:name="ProductID" w:val="2017 г"/>
        </w:smartTagPr>
        <w:r w:rsidRPr="00F65C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(ч. 1 ст. 10 УК РФ).Наказание за неуплату в крупном или особо крупном размере — долги от 5 млн. </w:t>
      </w:r>
      <w:proofErr w:type="spell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анее</w:t>
      </w:r>
      <w:proofErr w:type="spell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неуплаты налогов — крупный и особо крупный — считали без учета страховых взносов. Уголовной ответственности за неуплату страховых взносов не было.</w:t>
      </w:r>
    </w:p>
    <w:p w:rsidR="00F65CEA" w:rsidRPr="00F65CEA" w:rsidRDefault="00F65CEA" w:rsidP="00F65CEA">
      <w:pPr>
        <w:keepNext/>
        <w:shd w:val="clear" w:color="auto" w:fill="FFFFFF"/>
        <w:spacing w:before="121" w:after="12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26.3 "Система налогообложения в виде единого налога на вмененный доход для отдельных видов деятельности" НК РФ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 силу </w:t>
      </w:r>
      <w:hyperlink r:id="rId5" w:anchor="l9384" w:history="1">
        <w:r w:rsidRPr="00F65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подпункта 1</w:t>
        </w:r>
      </w:hyperlink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l32"/>
      <w:bookmarkEnd w:id="1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2.2 статьи 346.26 НК РФ организации и индивидуальные предприниматели, средняя численность работников которых за предшествующий календарный год, определяемая в порядке, устанавливаемым Росстатом, превышает 100 человек, не вправе применять систему налогообложения в виде единого налога на вмененный доход. 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это ограничение не распространяется на: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- организации потребительской кооперации, осуществляющие свою деятельность в соответствии с Законом Российской Федерации </w:t>
      </w:r>
      <w:hyperlink r:id="rId6" w:history="1">
        <w:r w:rsidRPr="00F65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от 19.06.1992 г. N 3085-1</w:t>
        </w:r>
      </w:hyperlink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потребительской кооперации (потребительских обществах, их союзах) в Российской Федерации" (далее - Закон РФ N 3085-1);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" w:name="l33"/>
      <w:bookmarkEnd w:id="2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хозяйственные общества, единственными учредителями которых являются потребительские общества и их союзы, осуществляющие свою деятельность в </w:t>
      </w:r>
      <w:proofErr w:type="gramEnd"/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Законом РФ </w:t>
      </w:r>
      <w:hyperlink r:id="rId7" w:history="1">
        <w:r w:rsidRPr="00F65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N 3085-1</w:t>
        </w:r>
      </w:hyperlink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Между тем, с 01.01.2018 г. эта льгота в части названных юридических лиц утратит силу, а значит, ограничение по средней численности работников будет действовать и в отношении названных организаций.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226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Налоги, сборы и страховые взносы можно добровольно уплачивать за третьих лиц.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22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предусматривалось, что налогоплательщик обязан исполнять обязанность по уплате налога исключительно самостоятельно. Однако теперь в статье 45 НК РФ прописали, что уплата налога может быть произведена иным лицом. Однако уточняется, что иное лицо после уплаты налога за третьих лиц будет не вправе требовать возврата 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уплаченного налога.  В связи с обозначенными поправками в НК РФ, к примеру, учредители и директоры смогут платить налоги за свою фирму. Прежде добровольно платить налоги за третьих лиц было нельзя. Поэтому, даже если у директора были деньги, погасить налоговые долги за компанию он не мог (письмо Минфина России от 14.02.2013 № 03-02-08/6). Теперь ситуация изменилась. Кроме этого: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22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 также получили возможность оплачивать налоги за других физических лиц или ИП;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одна организация вправе заплатить налоги, пени и штрафы за другую компанию.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3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 июля </w:t>
      </w:r>
      <w:smartTag w:uri="urn:schemas-microsoft-com:office:smarttags" w:element="metricconverter">
        <w:smartTagPr>
          <w:attr w:name="ProductID" w:val="2018 г"/>
        </w:smartTagPr>
        <w:r w:rsidRPr="00F65CE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2018 г</w:t>
        </w:r>
      </w:smartTag>
      <w:r w:rsidRPr="00F6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категории предпринимателей для расчетов будут использовать оборудование нового поколения.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завершится переход на 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онлайн-кассы. Если основная масса ИП перейдут на новые ККМ с 01.07.2017 года, то последними перейдут на онлайн-кассы ИП на ПСН и </w:t>
      </w:r>
      <w:proofErr w:type="spell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ЕНВД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65CE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ля</w:t>
      </w:r>
      <w:proofErr w:type="spellEnd"/>
      <w:r w:rsidRPr="00F65CE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ИП на ПСН/ЕНВД, торгующих пивом, снова дали отсрочку по переходу на онлайн-кассы до 1 июля 2018 года</w:t>
      </w:r>
      <w:r w:rsidRPr="00F65C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коммерсантов, </w:t>
      </w:r>
      <w:r w:rsidRPr="00F6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использующих </w:t>
      </w:r>
      <w:hyperlink r:id="rId8" w:history="1">
        <w:r w:rsidRPr="00F65CE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ЕНВД</w:t>
        </w:r>
      </w:hyperlink>
      <w:r w:rsidRPr="00F6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 патентную систему налогообложения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планируют расходы на </w:t>
      </w:r>
      <w:hyperlink r:id="rId9" w:history="1">
        <w:r w:rsidRPr="00F65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кассовую технику</w:t>
        </w:r>
      </w:hyperlink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ограничить в пределах до 18000 рублей;</w:t>
      </w:r>
    </w:p>
    <w:p w:rsidR="00F65CEA" w:rsidRPr="00F65CEA" w:rsidRDefault="00F65CEA" w:rsidP="00F65CEA">
      <w:pPr>
        <w:shd w:val="clear" w:color="auto" w:fill="FFFFFF"/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1F1F1"/>
          <w:lang w:eastAsia="ru-RU"/>
        </w:rPr>
        <w:t>Для ИП, желающих перейти на УСН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  <w:t xml:space="preserve"> с первого января 2018г. установлен потолок доходов. Он должен быть не более 112,5 млн.р. за девять месяцев 2017г.;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Планируется установить для ИП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 без нанятых специалистов, ставку налога 6% совокупного дохода.</w:t>
      </w:r>
    </w:p>
    <w:p w:rsidR="00F65CEA" w:rsidRPr="00F65CEA" w:rsidRDefault="00F65CEA" w:rsidP="00F65C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</w:pP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Меры в области налоговой политики, планируемые к реализации</w:t>
      </w:r>
    </w:p>
    <w:p w:rsidR="00F65CEA" w:rsidRPr="00F65CEA" w:rsidRDefault="00F65CEA" w:rsidP="00F65C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 и плановом периоде 2019 и 2020 годов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2018 по 2020 годы. Увеличения налоговой нагрузки на экономику не предполагается. Текущая работа по совершенствованию налогового законодательства будет продолжена.</w:t>
      </w:r>
    </w:p>
    <w:p w:rsidR="00F65CEA" w:rsidRPr="00F65CEA" w:rsidRDefault="00F65CEA" w:rsidP="00F65CE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Налоговая политика сельского поселения </w:t>
      </w:r>
      <w:proofErr w:type="spellStart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 Самарской области будет формироваться в рамках направлений и 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приоритетовобозначенных в Основных направлениях налоговой политики Российской Федерации и Самарской области  на предстоящий период.</w:t>
      </w:r>
    </w:p>
    <w:p w:rsidR="00F65CEA" w:rsidRPr="00F65CEA" w:rsidRDefault="00F65CEA" w:rsidP="00F65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налоговой политики 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 Самарской области 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2018-2020 годы является увеличение доходного потенциала налоговой системы и повышение уровня собственных доходов.</w:t>
      </w:r>
    </w:p>
    <w:p w:rsidR="00F65CEA" w:rsidRPr="00F65CEA" w:rsidRDefault="00F65CEA" w:rsidP="00F65CEA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социально-экономического развития сельского поселения </w:t>
      </w:r>
      <w:proofErr w:type="spellStart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 Самарской области с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тратегические направления в области доходов в трехлетней перспективе будут направлены </w:t>
      </w:r>
      <w:proofErr w:type="gram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5CEA" w:rsidRPr="00F65CEA" w:rsidRDefault="00F65CEA" w:rsidP="00F65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доходного потенциала;</w:t>
      </w:r>
    </w:p>
    <w:p w:rsidR="00F65CEA" w:rsidRPr="00F65CEA" w:rsidRDefault="00F65CEA" w:rsidP="00F65CEA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благоприятного инвестиционного климата на территории сельского поселения </w:t>
      </w:r>
      <w:proofErr w:type="spellStart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 Самарской области для повышения инвестиционной и предпринимательской активности;</w:t>
      </w:r>
    </w:p>
    <w:p w:rsidR="00F65CEA" w:rsidRPr="00F65CEA" w:rsidRDefault="00F65CEA" w:rsidP="00F65CEA">
      <w:pPr>
        <w:tabs>
          <w:tab w:val="left" w:pos="567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уровня налоговой культуры и социальной ответственности налогоплательщиков;</w:t>
      </w:r>
    </w:p>
    <w:p w:rsidR="00F65CEA" w:rsidRPr="00F65CEA" w:rsidRDefault="00F65CEA" w:rsidP="00F65CEA">
      <w:pPr>
        <w:tabs>
          <w:tab w:val="left" w:pos="567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F65CEA" w:rsidRPr="00F65CEA" w:rsidRDefault="00F65CEA" w:rsidP="00F65CE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 до средне областного уровня заработной платы, сложившейся в данной отрасли;</w:t>
      </w:r>
    </w:p>
    <w:p w:rsidR="00F65CEA" w:rsidRPr="00F65CEA" w:rsidRDefault="00F65CEA" w:rsidP="00F65CEA">
      <w:pPr>
        <w:tabs>
          <w:tab w:val="left" w:pos="567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пресечения схем минимизации налогов, совершенствования методов контроля легализации «теневой» заработной платы;</w:t>
      </w:r>
    </w:p>
    <w:p w:rsidR="00F65CEA" w:rsidRPr="00F65CEA" w:rsidRDefault="00F65CEA" w:rsidP="00F65CE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качества </w:t>
      </w:r>
      <w:proofErr w:type="spellStart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претензионно-исковой</w:t>
      </w:r>
      <w:proofErr w:type="spellEnd"/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неплательщиками и осуществление мер принудительного взыскания задолженности;</w:t>
      </w:r>
    </w:p>
    <w:p w:rsidR="00F65CEA" w:rsidRPr="00F65CEA" w:rsidRDefault="00F65CEA" w:rsidP="00F65CE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:rsidR="00F65CEA" w:rsidRPr="00F65CEA" w:rsidRDefault="00F65CEA" w:rsidP="00F65CE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участвующими в формировании налоговой базы;</w:t>
      </w:r>
    </w:p>
    <w:p w:rsidR="00F65CEA" w:rsidRPr="00F65CEA" w:rsidRDefault="00F65CEA" w:rsidP="00F65CEA">
      <w:pPr>
        <w:tabs>
          <w:tab w:val="left" w:pos="567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использования муниципальной собственности;</w:t>
      </w:r>
    </w:p>
    <w:p w:rsidR="00F65CEA" w:rsidRPr="00F65CEA" w:rsidRDefault="00F65CEA" w:rsidP="00F65CE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-поиск новых источников пополнения бюджета 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Долматовка</w:t>
      </w:r>
      <w:proofErr w:type="spellEnd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 Самарской области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сохранения и развития имеющегося налогового потенциала будут проводиться следующие мероприятия: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приближение прогноза поступлений к реальной ситуации в экономике;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оперативная корректировка бюджета при отклонении поступлений от прогнозных оценок;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платежам в бюджет поселения, проведение реструктуризации задолженности юридических лиц по платежам в бюджет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инвентаризации имущества, находящегося в муниципальной собственности, с целью выявления неиспользуемого (бесхозяйного) имущества и установление направления его эффективного использования;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передача в казну имущества, закрепленного за муниципальными предприятиями и не используемого в уставных целях, для дальнейшей передачи их в аренду или продажу;</w:t>
      </w:r>
    </w:p>
    <w:p w:rsidR="00F65CEA" w:rsidRPr="00F65CEA" w:rsidRDefault="00F65CEA" w:rsidP="00F65C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активизация работы по разграничению земель в собственность </w:t>
      </w:r>
      <w:r w:rsidRPr="00F6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F65C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увеличения доходов от использования и продажи земельных ресурсов.</w:t>
      </w:r>
    </w:p>
    <w:p w:rsidR="00F65CEA" w:rsidRPr="00F65CEA" w:rsidRDefault="00F65CEA" w:rsidP="00F6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E5" w:rsidRDefault="00A840E5">
      <w:bookmarkStart w:id="3" w:name="_GoBack"/>
      <w:bookmarkEnd w:id="3"/>
    </w:p>
    <w:sectPr w:rsidR="00A840E5" w:rsidSect="00E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CEA"/>
    <w:rsid w:val="00A840E5"/>
    <w:rsid w:val="00EB6414"/>
    <w:rsid w:val="00EE48C7"/>
    <w:rsid w:val="00F6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d2018.org/envd-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erent.ru/1/19790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1979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ferent.ru/1/2822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d2018.org/perehod-na-onlain-kassi-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3869</Words>
  <Characters>22054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dcterms:created xsi:type="dcterms:W3CDTF">2017-12-04T11:53:00Z</dcterms:created>
  <dcterms:modified xsi:type="dcterms:W3CDTF">2017-12-04T11:53:00Z</dcterms:modified>
</cp:coreProperties>
</file>